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 чрезвычайных ситуаций</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основные положения общевоинских уставов ВС РФ</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организацию внутреннего порядка в подразделении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основные положения Курса стрельб из стрелкового оружия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устройство стрелкового оружия, боеприпасов и ручных гранат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предназначение, задачи и организационно-штатную структуру общевойсковых подразделений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основные факторы, определяющие характер, организацию и способы ведения современного общевойскового боя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общие сведения о ядерном, химическом и биологическом оружии, средствах его применения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тактические свойства местности, их влияние на действия подразделений в боевой обстановке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назначение, номенклатуру и условные знаки топографических карт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основные положения Военной доктрины РФ</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знать правовое положение и порядок прохождения военной службы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ЧС; пользоваться, находящимися в индивидуальной аптечке, предметами и средствами по их прямому назначению</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правильно применять и выполнять положения общевоинских уставов ВС РФ</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осуществлять разборку и сборку автомата (АК-74) и пистолета (ПМ), подготовку к боевому применению ручных гранат</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оборудовать позицию для стрельбы из стрелкового оружия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выполнять мероприятия радиационной, химической и биологической защиты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читать топографические карты различной номенклатуры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уметь применять положения нормативно-правовых актов</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владеть строевыми приемами на месте и в движении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навыками управления строями взвода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стрельбы из стрелкового оружия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подготовки к ведению общевойскового боя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навыками применения индивидуальных средств РХБ защиты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ориентирования на местности по карте и без карты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УК-8.33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УК-8.34 владеть навыками работы с нормативно-правовыми документами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Б1.О.03.03 «Безопасность жизнедеятельности»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Условия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безопасностью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Чрезвычайные ситуации  и  военные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Чрезвычайные ситуации мирного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Чрезвычайные ситуации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населения и территорий при угрозе и возникновении чрезвычайных ситуаций и военных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Ликвидация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14.54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Охрана труда на предприятии.</w:t>
            </w:r>
          </w:p>
          <w:p>
            <w:pPr>
              <w:jc w:val="both"/>
              <w:spacing w:after="0" w:line="240" w:lineRule="auto"/>
              <w:rPr>
                <w:sz w:val="24"/>
                <w:szCs w:val="24"/>
              </w:rPr>
            </w:pPr>
            <w:r>
              <w:rPr>
                <w:rFonts w:ascii="Times New Roman" w:hAnsi="Times New Roman" w:cs="Times New Roman"/>
                <w:color w:val="#000000"/>
                <w:sz w:val="24"/>
                <w:szCs w:val="24"/>
              </w:rPr>
              <w:t> Служба охраны труда.</w:t>
            </w:r>
          </w:p>
          <w:p>
            <w:pPr>
              <w:jc w:val="both"/>
              <w:spacing w:after="0" w:line="240" w:lineRule="auto"/>
              <w:rPr>
                <w:sz w:val="24"/>
                <w:szCs w:val="24"/>
              </w:rPr>
            </w:pPr>
            <w:r>
              <w:rPr>
                <w:rFonts w:ascii="Times New Roman" w:hAnsi="Times New Roman" w:cs="Times New Roman"/>
                <w:color w:val="#000000"/>
                <w:sz w:val="24"/>
                <w:szCs w:val="24"/>
              </w:rPr>
              <w:t> Порядок обучения и проверки знаний по охране труда.</w:t>
            </w:r>
          </w:p>
          <w:p>
            <w:pPr>
              <w:jc w:val="both"/>
              <w:spacing w:after="0" w:line="240" w:lineRule="auto"/>
              <w:rPr>
                <w:sz w:val="24"/>
                <w:szCs w:val="24"/>
              </w:rPr>
            </w:pPr>
            <w:r>
              <w:rPr>
                <w:rFonts w:ascii="Times New Roman" w:hAnsi="Times New Roman" w:cs="Times New Roman"/>
                <w:color w:val="#000000"/>
                <w:sz w:val="24"/>
                <w:szCs w:val="24"/>
              </w:rPr>
              <w:t> Затраты на охрану труда.</w:t>
            </w:r>
          </w:p>
          <w:p>
            <w:pPr>
              <w:jc w:val="both"/>
              <w:spacing w:after="0" w:line="240" w:lineRule="auto"/>
              <w:rPr>
                <w:sz w:val="24"/>
                <w:szCs w:val="24"/>
              </w:rPr>
            </w:pPr>
            <w:r>
              <w:rPr>
                <w:rFonts w:ascii="Times New Roman" w:hAnsi="Times New Roman" w:cs="Times New Roman"/>
                <w:color w:val="#000000"/>
                <w:sz w:val="24"/>
                <w:szCs w:val="24"/>
              </w:rPr>
              <w:t> Ответственность за нарушение требований охраны труда.</w:t>
            </w:r>
          </w:p>
          <w:p>
            <w:pPr>
              <w:jc w:val="both"/>
              <w:spacing w:after="0" w:line="240" w:lineRule="auto"/>
              <w:rPr>
                <w:sz w:val="24"/>
                <w:szCs w:val="24"/>
              </w:rPr>
            </w:pPr>
            <w:r>
              <w:rPr>
                <w:rFonts w:ascii="Times New Roman" w:hAnsi="Times New Roman" w:cs="Times New Roman"/>
                <w:color w:val="#000000"/>
                <w:sz w:val="24"/>
                <w:szCs w:val="24"/>
              </w:rPr>
              <w:t> Охрана труда на рабочем месте.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при работе на персональныхэлектронно-вычислительных машинах (ПЭВМ).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Охрана труда на предприятии.</w:t>
            </w:r>
          </w:p>
          <w:p>
            <w:pPr>
              <w:jc w:val="both"/>
              <w:spacing w:after="0" w:line="240" w:lineRule="auto"/>
              <w:rPr>
                <w:sz w:val="24"/>
                <w:szCs w:val="24"/>
              </w:rPr>
            </w:pPr>
            <w:r>
              <w:rPr>
                <w:rFonts w:ascii="Times New Roman" w:hAnsi="Times New Roman" w:cs="Times New Roman"/>
                <w:color w:val="#000000"/>
                <w:sz w:val="24"/>
                <w:szCs w:val="24"/>
              </w:rPr>
              <w:t> Служба охраны труда.</w:t>
            </w:r>
          </w:p>
          <w:p>
            <w:pPr>
              <w:jc w:val="both"/>
              <w:spacing w:after="0" w:line="240" w:lineRule="auto"/>
              <w:rPr>
                <w:sz w:val="24"/>
                <w:szCs w:val="24"/>
              </w:rPr>
            </w:pPr>
            <w:r>
              <w:rPr>
                <w:rFonts w:ascii="Times New Roman" w:hAnsi="Times New Roman" w:cs="Times New Roman"/>
                <w:color w:val="#000000"/>
                <w:sz w:val="24"/>
                <w:szCs w:val="24"/>
              </w:rPr>
              <w:t> Порядок обучения и проверки знаний по охране труда.</w:t>
            </w:r>
          </w:p>
          <w:p>
            <w:pPr>
              <w:jc w:val="both"/>
              <w:spacing w:after="0" w:line="240" w:lineRule="auto"/>
              <w:rPr>
                <w:sz w:val="24"/>
                <w:szCs w:val="24"/>
              </w:rPr>
            </w:pPr>
            <w:r>
              <w:rPr>
                <w:rFonts w:ascii="Times New Roman" w:hAnsi="Times New Roman" w:cs="Times New Roman"/>
                <w:color w:val="#000000"/>
                <w:sz w:val="24"/>
                <w:szCs w:val="24"/>
              </w:rPr>
              <w:t> Затраты на охрану труда.</w:t>
            </w:r>
          </w:p>
          <w:p>
            <w:pPr>
              <w:jc w:val="both"/>
              <w:spacing w:after="0" w:line="240" w:lineRule="auto"/>
              <w:rPr>
                <w:sz w:val="24"/>
                <w:szCs w:val="24"/>
              </w:rPr>
            </w:pPr>
            <w:r>
              <w:rPr>
                <w:rFonts w:ascii="Times New Roman" w:hAnsi="Times New Roman" w:cs="Times New Roman"/>
                <w:color w:val="#000000"/>
                <w:sz w:val="24"/>
                <w:szCs w:val="24"/>
              </w:rPr>
              <w:t> Ответственность за нарушение требований охраны труда.</w:t>
            </w:r>
          </w:p>
          <w:p>
            <w:pPr>
              <w:jc w:val="both"/>
              <w:spacing w:after="0" w:line="240" w:lineRule="auto"/>
              <w:rPr>
                <w:sz w:val="24"/>
                <w:szCs w:val="24"/>
              </w:rPr>
            </w:pPr>
            <w:r>
              <w:rPr>
                <w:rFonts w:ascii="Times New Roman" w:hAnsi="Times New Roman" w:cs="Times New Roman"/>
                <w:color w:val="#000000"/>
                <w:sz w:val="24"/>
                <w:szCs w:val="24"/>
              </w:rPr>
              <w:t> Охрана труда на рабочем месте.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3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601.7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5.49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2023-2024_ФГОС3++2023_Бак-ЗФО-Э(УАиА)(23)_plx_Безопасность жизнедеятельности</dc:title>
  <dc:creator>FastReport.NET</dc:creator>
</cp:coreProperties>
</file>